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3F018E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3F018E" w:rsidP="00305146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3F018E">
        <w:rPr>
          <w:noProof/>
          <w:color w:val="FF0000"/>
        </w:rPr>
        <w:drawing>
          <wp:inline distT="0" distB="0" distL="0" distR="0" wp14:anchorId="5ABFF69F" wp14:editId="3FBA76B9">
            <wp:extent cx="9020175" cy="59531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3F018E"/>
    <w:rsid w:val="00B05329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34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1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3978624"/>
        <c:axId val="393979016"/>
        <c:axId val="0"/>
      </c:bar3DChart>
      <c:catAx>
        <c:axId val="39397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979016"/>
        <c:crosses val="autoZero"/>
        <c:auto val="1"/>
        <c:lblAlgn val="ctr"/>
        <c:lblOffset val="100"/>
        <c:noMultiLvlLbl val="0"/>
      </c:catAx>
      <c:valAx>
        <c:axId val="393979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397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0.16367</cdr:x>
      <cdr:y>0.1328</cdr:y>
    </cdr:from>
    <cdr:to>
      <cdr:x>0.49208</cdr:x>
      <cdr:y>0.1776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90575"/>
          <a:ext cx="2962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3,498</a:t>
          </a:r>
          <a:r>
            <a:rPr lang="en-US" sz="1100" i="1"/>
            <a:t> - Average Year Built </a:t>
          </a:r>
          <a:r>
            <a:rPr lang="en-US" sz="1100" b="1" i="1"/>
            <a:t>2003</a:t>
          </a:r>
        </a:p>
      </cdr:txBody>
    </cdr:sp>
  </cdr:relSizeAnchor>
  <cdr:relSizeAnchor xmlns:cdr="http://schemas.openxmlformats.org/drawingml/2006/chartDrawing">
    <cdr:from>
      <cdr:x>0.16367</cdr:x>
      <cdr:y>0.1936</cdr:y>
    </cdr:from>
    <cdr:to>
      <cdr:x>0.51531</cdr:x>
      <cdr:y>0.2352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52525"/>
          <a:ext cx="3171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3,529</a:t>
          </a:r>
          <a:r>
            <a:rPr lang="en-US" sz="1100" i="1" baseline="0"/>
            <a:t> - Average Year Built </a:t>
          </a:r>
          <a:r>
            <a:rPr lang="en-US" sz="1100" b="1" i="1" baseline="0"/>
            <a:t>2005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0.16367</cdr:x>
      <cdr:y>0.2576</cdr:y>
    </cdr:from>
    <cdr:to>
      <cdr:x>0.50898</cdr:x>
      <cdr:y>0.3008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33525"/>
          <a:ext cx="3114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2,988 </a:t>
          </a:r>
          <a:r>
            <a:rPr lang="en-US" sz="1100" i="1"/>
            <a:t>- Average</a:t>
          </a:r>
          <a:r>
            <a:rPr lang="en-US" sz="1100" i="1" baseline="0"/>
            <a:t> Year Built </a:t>
          </a:r>
          <a:r>
            <a:rPr lang="en-US" sz="1100" b="1" i="1" baseline="0"/>
            <a:t>2002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0.16367</cdr:x>
      <cdr:y>0.32</cdr:y>
    </cdr:from>
    <cdr:to>
      <cdr:x>0.51531</cdr:x>
      <cdr:y>0.3616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05000"/>
          <a:ext cx="3171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2,266</a:t>
          </a:r>
          <a:r>
            <a:rPr lang="en-US" sz="1100" i="1" baseline="0"/>
            <a:t> - Average Year Built </a:t>
          </a:r>
          <a:r>
            <a:rPr lang="en-US" sz="1100" b="1" i="1" baseline="0"/>
            <a:t>2003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0.16367</cdr:x>
      <cdr:y>0.3824</cdr:y>
    </cdr:from>
    <cdr:to>
      <cdr:x>0.50898</cdr:x>
      <cdr:y>0.4224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76475"/>
          <a:ext cx="3114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0"/>
            <a:t> </a:t>
          </a:r>
          <a:r>
            <a:rPr lang="en-US" sz="1100" b="1" i="0"/>
            <a:t>2,422</a:t>
          </a:r>
          <a:r>
            <a:rPr lang="en-US" sz="1100" i="0"/>
            <a:t> </a:t>
          </a:r>
          <a:r>
            <a:rPr lang="en-US" sz="1100" i="1"/>
            <a:t>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0.16367</cdr:x>
      <cdr:y>0.4432</cdr:y>
    </cdr:from>
    <cdr:to>
      <cdr:x>0.50053</cdr:x>
      <cdr:y>0.4864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38425"/>
          <a:ext cx="3038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 baseline="0"/>
            <a:t> 2,507 </a:t>
          </a:r>
          <a:r>
            <a:rPr lang="en-US" sz="1100" i="1" baseline="0"/>
            <a:t>- Average Year Built </a:t>
          </a:r>
          <a:r>
            <a:rPr lang="en-US" sz="1100" b="1" i="1" baseline="0"/>
            <a:t>1999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0.16473</cdr:x>
      <cdr:y>0.504</cdr:y>
    </cdr:from>
    <cdr:to>
      <cdr:x>0.52798</cdr:x>
      <cdr:y>0.5456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000375"/>
          <a:ext cx="3276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2,093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2001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0.16367</cdr:x>
      <cdr:y>0.568</cdr:y>
    </cdr:from>
    <cdr:to>
      <cdr:x>0.50686</cdr:x>
      <cdr:y>0.608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81375"/>
          <a:ext cx="3095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2,233 </a:t>
          </a:r>
          <a:r>
            <a:rPr lang="en-US" sz="1100" i="1"/>
            <a:t>- Average Year Built </a:t>
          </a:r>
          <a:r>
            <a:rPr lang="en-US" sz="1100" b="1" i="1"/>
            <a:t>1996</a:t>
          </a:r>
        </a:p>
      </cdr:txBody>
    </cdr:sp>
  </cdr:relSizeAnchor>
  <cdr:relSizeAnchor xmlns:cdr="http://schemas.openxmlformats.org/drawingml/2006/chartDrawing">
    <cdr:from>
      <cdr:x>0.16262</cdr:x>
      <cdr:y>0.6272</cdr:y>
    </cdr:from>
    <cdr:to>
      <cdr:x>0.53326</cdr:x>
      <cdr:y>0.672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733800"/>
          <a:ext cx="3343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2,138</a:t>
          </a:r>
          <a:r>
            <a:rPr lang="en-US" sz="1100" i="1"/>
            <a:t> - Average Year Built</a:t>
          </a:r>
          <a:r>
            <a:rPr lang="en-US" sz="1100" i="1" baseline="0"/>
            <a:t> </a:t>
          </a:r>
          <a:r>
            <a:rPr lang="en-US" sz="1100" b="1" i="1" baseline="0"/>
            <a:t>2003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0.16367</cdr:x>
      <cdr:y>0.6896</cdr:y>
    </cdr:from>
    <cdr:to>
      <cdr:x>0.49525</cdr:x>
      <cdr:y>0.7392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105275"/>
          <a:ext cx="29908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2,471</a:t>
          </a:r>
          <a:r>
            <a:rPr lang="en-US" sz="1100" i="1"/>
            <a:t> - Average Year Built </a:t>
          </a:r>
          <a:r>
            <a:rPr lang="en-US" sz="1100" b="1" i="1"/>
            <a:t>1987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2017-05-09T22:26:00Z</dcterms:created>
  <dcterms:modified xsi:type="dcterms:W3CDTF">2017-05-09T22:26:00Z</dcterms:modified>
</cp:coreProperties>
</file>